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0580D" w14:textId="3ED55B18" w:rsidR="004762C2" w:rsidRPr="002A26B6" w:rsidRDefault="004762C2" w:rsidP="004762C2">
      <w:pPr>
        <w:rPr>
          <w:sz w:val="28"/>
          <w:szCs w:val="28"/>
          <w:lang w:val="en-US"/>
        </w:rPr>
      </w:pPr>
      <w:r w:rsidRPr="002A26B6">
        <w:rPr>
          <w:sz w:val="28"/>
          <w:szCs w:val="28"/>
          <w:lang w:val="en-US"/>
        </w:rPr>
        <w:t xml:space="preserve">EQX round robin </w:t>
      </w:r>
      <w:proofErr w:type="gramStart"/>
      <w:r w:rsidRPr="002A26B6">
        <w:rPr>
          <w:sz w:val="28"/>
          <w:szCs w:val="28"/>
          <w:lang w:val="en-US"/>
        </w:rPr>
        <w:t xml:space="preserve">example  </w:t>
      </w:r>
      <w:proofErr w:type="spellStart"/>
      <w:r>
        <w:rPr>
          <w:sz w:val="28"/>
          <w:szCs w:val="28"/>
          <w:lang w:val="en-US"/>
        </w:rPr>
        <w:t>Calibrationrequest</w:t>
      </w:r>
      <w:proofErr w:type="spellEnd"/>
      <w:proofErr w:type="gramEnd"/>
    </w:p>
    <w:p w14:paraId="259EDDBD" w14:textId="5A352063" w:rsidR="004762C2" w:rsidRPr="00520A7D" w:rsidRDefault="004762C2" w:rsidP="004762C2">
      <w:pPr>
        <w:pStyle w:val="Listenabsatz"/>
        <w:numPr>
          <w:ilvl w:val="0"/>
          <w:numId w:val="1"/>
        </w:numPr>
        <w:rPr>
          <w:lang w:val="en-US"/>
        </w:rPr>
      </w:pPr>
      <w:r w:rsidRPr="00520A7D">
        <w:rPr>
          <w:lang w:val="en-US"/>
        </w:rPr>
        <w:t xml:space="preserve">setup </w:t>
      </w:r>
      <w:r>
        <w:rPr>
          <w:lang w:val="en-US"/>
        </w:rPr>
        <w:t>and request information for calibration of an accelerometer</w:t>
      </w:r>
    </w:p>
    <w:p w14:paraId="5AAD6E88" w14:textId="77777777" w:rsidR="004762C2" w:rsidRDefault="004762C2" w:rsidP="004762C2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Including </w:t>
      </w:r>
    </w:p>
    <w:p w14:paraId="6EA70FBA" w14:textId="418C4CD2" w:rsidR="004762C2" w:rsidRDefault="00D753A9" w:rsidP="004762C2">
      <w:pPr>
        <w:pStyle w:val="Listenabsatz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Sensorinformation</w:t>
      </w:r>
      <w:proofErr w:type="spellEnd"/>
      <w:r>
        <w:rPr>
          <w:lang w:val="en-US"/>
        </w:rPr>
        <w:t xml:space="preserve"> for an </w:t>
      </w:r>
      <w:proofErr w:type="gramStart"/>
      <w:r>
        <w:rPr>
          <w:lang w:val="en-US"/>
        </w:rPr>
        <w:t>accelerometer  with</w:t>
      </w:r>
      <w:proofErr w:type="gramEnd"/>
      <w:r>
        <w:rPr>
          <w:lang w:val="en-US"/>
        </w:rPr>
        <w:t xml:space="preserve"> 6 calibration history entries</w:t>
      </w:r>
    </w:p>
    <w:p w14:paraId="67D47EDE" w14:textId="77777777" w:rsidR="004762C2" w:rsidRDefault="004762C2" w:rsidP="004762C2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Additional attribute on </w:t>
      </w:r>
      <w:proofErr w:type="gramStart"/>
      <w:r>
        <w:rPr>
          <w:lang w:val="en-US"/>
        </w:rPr>
        <w:t>test :</w:t>
      </w:r>
      <w:proofErr w:type="gramEnd"/>
    </w:p>
    <w:p w14:paraId="5E13FE90" w14:textId="3C075F45" w:rsidR="004762C2" w:rsidRDefault="004762C2" w:rsidP="004762C2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proofErr w:type="spellStart"/>
      <w:r w:rsidR="00D753A9" w:rsidRPr="00D753A9">
        <w:rPr>
          <w:lang w:val="en-US"/>
        </w:rPr>
        <w:t>Warmuptime</w:t>
      </w:r>
      <w:proofErr w:type="spellEnd"/>
      <w:r w:rsidRPr="00153606">
        <w:rPr>
          <w:lang w:val="en-US"/>
        </w:rPr>
        <w:t>" Value="</w:t>
      </w:r>
      <w:r w:rsidR="00D753A9">
        <w:rPr>
          <w:lang w:val="en-US"/>
        </w:rPr>
        <w:t>60</w:t>
      </w:r>
      <w:r w:rsidRPr="00153606">
        <w:rPr>
          <w:lang w:val="en-US"/>
        </w:rPr>
        <w:t>"</w:t>
      </w:r>
    </w:p>
    <w:p w14:paraId="345CFB34" w14:textId="01DEB2B6" w:rsidR="00D753A9" w:rsidRDefault="00D753A9" w:rsidP="00D753A9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proofErr w:type="spellStart"/>
      <w:r w:rsidRPr="00D753A9">
        <w:rPr>
          <w:lang w:val="en-US"/>
        </w:rPr>
        <w:t>MaxLinearity</w:t>
      </w:r>
      <w:proofErr w:type="spellEnd"/>
      <w:r w:rsidRPr="00153606">
        <w:rPr>
          <w:lang w:val="en-US"/>
        </w:rPr>
        <w:t>" Value="</w:t>
      </w:r>
      <w:r>
        <w:rPr>
          <w:lang w:val="en-US"/>
        </w:rPr>
        <w:t>0,2</w:t>
      </w:r>
      <w:r w:rsidRPr="00153606">
        <w:rPr>
          <w:lang w:val="en-US"/>
        </w:rPr>
        <w:t>"</w:t>
      </w:r>
    </w:p>
    <w:p w14:paraId="6E2EF5C8" w14:textId="577A9F05" w:rsidR="00D753A9" w:rsidRDefault="00D753A9" w:rsidP="00D753A9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r w:rsidRPr="00D753A9">
        <w:rPr>
          <w:lang w:val="en-US"/>
        </w:rPr>
        <w:t>Mounting</w:t>
      </w:r>
      <w:r w:rsidRPr="00153606">
        <w:rPr>
          <w:lang w:val="en-US"/>
        </w:rPr>
        <w:t>" Value="</w:t>
      </w:r>
      <w:proofErr w:type="spellStart"/>
      <w:r>
        <w:rPr>
          <w:lang w:val="en-US"/>
        </w:rPr>
        <w:t>geschraubt</w:t>
      </w:r>
      <w:proofErr w:type="spellEnd"/>
      <w:r w:rsidRPr="00153606">
        <w:rPr>
          <w:lang w:val="en-US"/>
        </w:rPr>
        <w:t>"</w:t>
      </w:r>
    </w:p>
    <w:p w14:paraId="1A97EEB2" w14:textId="163377C9" w:rsidR="00D753A9" w:rsidRDefault="00D753A9" w:rsidP="00D753A9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r w:rsidRPr="00D753A9">
        <w:rPr>
          <w:lang w:val="en-US"/>
        </w:rPr>
        <w:t>Mounting Torque</w:t>
      </w:r>
      <w:r w:rsidRPr="00153606">
        <w:rPr>
          <w:lang w:val="en-US"/>
        </w:rPr>
        <w:t>" Value="</w:t>
      </w:r>
      <w:r>
        <w:rPr>
          <w:lang w:val="en-US"/>
        </w:rPr>
        <w:t>0,3</w:t>
      </w:r>
      <w:r w:rsidRPr="00153606">
        <w:rPr>
          <w:lang w:val="en-US"/>
        </w:rPr>
        <w:t>"</w:t>
      </w:r>
    </w:p>
    <w:p w14:paraId="08E90344" w14:textId="77777777" w:rsidR="00D753A9" w:rsidRDefault="00D753A9" w:rsidP="00D753A9">
      <w:pPr>
        <w:pStyle w:val="Listenabsatz"/>
        <w:numPr>
          <w:ilvl w:val="1"/>
          <w:numId w:val="1"/>
        </w:numPr>
        <w:rPr>
          <w:lang w:val="en-US"/>
        </w:rPr>
      </w:pPr>
    </w:p>
    <w:p w14:paraId="672FEB26" w14:textId="77777777" w:rsidR="00D753A9" w:rsidRDefault="00D753A9" w:rsidP="00D753A9">
      <w:pPr>
        <w:pStyle w:val="Listenabsatz"/>
        <w:rPr>
          <w:lang w:val="en-US"/>
        </w:rPr>
      </w:pPr>
    </w:p>
    <w:p w14:paraId="665BB555" w14:textId="77777777" w:rsidR="00E01C76" w:rsidRPr="00D753A9" w:rsidRDefault="00E01C76" w:rsidP="00CD057F">
      <w:pPr>
        <w:rPr>
          <w:rFonts w:cstheme="minorHAnsi"/>
          <w:lang w:val="en-US"/>
        </w:rPr>
      </w:pPr>
    </w:p>
    <w:sectPr w:rsidR="00E01C76" w:rsidRPr="00D75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FB747" w14:textId="77777777" w:rsidR="0003211D" w:rsidRDefault="0003211D" w:rsidP="00DB7D7B">
      <w:r>
        <w:separator/>
      </w:r>
    </w:p>
  </w:endnote>
  <w:endnote w:type="continuationSeparator" w:id="0">
    <w:p w14:paraId="17850D4B" w14:textId="77777777" w:rsidR="0003211D" w:rsidRDefault="0003211D" w:rsidP="00DB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C34A0" w14:textId="77777777" w:rsidR="0003211D" w:rsidRDefault="0003211D" w:rsidP="00DB7D7B">
      <w:r>
        <w:separator/>
      </w:r>
    </w:p>
  </w:footnote>
  <w:footnote w:type="continuationSeparator" w:id="0">
    <w:p w14:paraId="2A1375D2" w14:textId="77777777" w:rsidR="0003211D" w:rsidRDefault="0003211D" w:rsidP="00DB7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47ED2"/>
    <w:multiLevelType w:val="hybridMultilevel"/>
    <w:tmpl w:val="24D09998"/>
    <w:lvl w:ilvl="0" w:tplc="2278A7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11D"/>
    <w:rsid w:val="0003211D"/>
    <w:rsid w:val="002D6A37"/>
    <w:rsid w:val="004762C2"/>
    <w:rsid w:val="004B3E3F"/>
    <w:rsid w:val="00772990"/>
    <w:rsid w:val="00807B7B"/>
    <w:rsid w:val="00A60DD5"/>
    <w:rsid w:val="00CD057F"/>
    <w:rsid w:val="00D16DE0"/>
    <w:rsid w:val="00D753A9"/>
    <w:rsid w:val="00DB7D7B"/>
    <w:rsid w:val="00E0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3C6C9"/>
  <w15:chartTrackingRefBased/>
  <w15:docId w15:val="{B94DF3CE-A0AD-4CA7-B9F0-5036B76D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1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62C2"/>
    <w:rPr>
      <w:kern w:val="0"/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76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ZF">
  <a:themeElements>
    <a:clrScheme name="ZF CD">
      <a:dk1>
        <a:srgbClr val="000000"/>
      </a:dk1>
      <a:lt1>
        <a:srgbClr val="FFFFFF"/>
      </a:lt1>
      <a:dk2>
        <a:srgbClr val="00ABE7"/>
      </a:dk2>
      <a:lt2>
        <a:srgbClr val="BFBFBF"/>
      </a:lt2>
      <a:accent1>
        <a:srgbClr val="7FD5F3"/>
      </a:accent1>
      <a:accent2>
        <a:srgbClr val="BFEAF9"/>
      </a:accent2>
      <a:accent3>
        <a:srgbClr val="1179BF"/>
      </a:accent3>
      <a:accent4>
        <a:srgbClr val="004D7A"/>
      </a:accent4>
      <a:accent5>
        <a:srgbClr val="7FA5BC"/>
      </a:accent5>
      <a:accent6>
        <a:srgbClr val="DD0C29"/>
      </a:accent6>
      <a:hlink>
        <a:srgbClr val="00ABE7"/>
      </a:hlink>
      <a:folHlink>
        <a:srgbClr val="1179BF"/>
      </a:folHlink>
    </a:clrScheme>
    <a:fontScheme name="© ZF Friedrichshafen AG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7FD5F3"/>
        </a:solidFill>
        <a:ln w="12700" cap="flat" cmpd="sng" algn="ctr">
          <a:noFill/>
          <a:prstDash val="solid"/>
        </a:ln>
        <a:effectLst/>
      </a:spPr>
      <a:bodyPr rot="0" spcFirstLastPara="0" vertOverflow="overflow" horzOverflow="overflow" vert="horz" wrap="square" lIns="90000" tIns="90000" rIns="90000" bIns="90000" numCol="1" spcCol="0" rtlCol="0" fromWordArt="0" anchor="ctr" anchorCtr="0" forceAA="0" compatLnSpc="1">
        <a:prstTxWarp prst="textNoShape">
          <a:avLst/>
        </a:prstTxWarp>
        <a:noAutofit/>
      </a:bodyPr>
      <a:lstStyle>
        <a:defPPr marL="0" marR="0" indent="0" algn="ctr" defTabSz="914400" eaLnBrk="1" fontAlgn="base" latinLnBrk="0" hangingPunct="1">
          <a:lnSpc>
            <a:spcPct val="100000"/>
          </a:lnSpc>
          <a:spcBef>
            <a:spcPts val="0"/>
          </a:spcBef>
          <a:spcAft>
            <a:spcPct val="0"/>
          </a:spcAft>
          <a:buClrTx/>
          <a:buSzTx/>
          <a:buFontTx/>
          <a:buNone/>
          <a:tabLst/>
          <a:defRPr kumimoji="0" sz="1200" b="0" i="0" u="none" strike="noStrike" kern="0" cap="none" spc="0" normalizeH="0" baseline="0" noProof="0" dirty="0" err="1" smtClean="0">
            <a:ln>
              <a:noFill/>
            </a:ln>
            <a:solidFill>
              <a:srgbClr val="000000"/>
            </a:solidFill>
            <a:effectLst/>
            <a:uLnTx/>
            <a:uFillTx/>
            <a:latin typeface="Tahoma"/>
            <a:ea typeface="+mn-ea"/>
            <a:cs typeface="Tahoma" pitchFamily="34" charset="0"/>
          </a:defRPr>
        </a:defPPr>
      </a:lstStyle>
    </a:spDef>
    <a:lnDef>
      <a:spPr>
        <a:noFill/>
        <a:ln w="28575" cap="rnd" cmpd="sng" algn="ctr">
          <a:solidFill>
            <a:srgbClr val="00ABE7"/>
          </a:solidFill>
          <a:prstDash val="sysDot"/>
          <a:round/>
        </a:ln>
        <a:effectLst/>
      </a:spPr>
      <a:bodyPr/>
      <a:lstStyle/>
    </a:lnDef>
    <a:txDef>
      <a:spPr>
        <a:noFill/>
      </a:spPr>
      <a:bodyPr wrap="square" lIns="0" tIns="0" rIns="0" bIns="0" rtlCol="0">
        <a:spAutoFit/>
      </a:bodyPr>
      <a:lstStyle>
        <a:defPPr marL="0" marR="0" indent="0" defTabSz="914400" eaLnBrk="1" fontAlgn="base" latinLnBrk="0" hangingPunct="1">
          <a:lnSpc>
            <a:spcPct val="100000"/>
          </a:lnSpc>
          <a:spcBef>
            <a:spcPts val="0"/>
          </a:spcBef>
          <a:spcAft>
            <a:spcPct val="0"/>
          </a:spcAft>
          <a:buClrTx/>
          <a:buSzTx/>
          <a:buFontTx/>
          <a:buNone/>
          <a:tabLst/>
          <a:defRPr kumimoji="0" sz="1200" b="0" i="0" u="none" strike="noStrike" kern="0" cap="none" spc="0" normalizeH="0" baseline="0" noProof="0" dirty="0" smtClean="0">
            <a:ln>
              <a:noFill/>
            </a:ln>
            <a:solidFill>
              <a:srgbClr val="000000"/>
            </a:solidFill>
            <a:effectLst/>
            <a:uLnTx/>
            <a:uFillTx/>
          </a:defRPr>
        </a:defPPr>
      </a:lstStyle>
    </a:txDef>
  </a:objectDefaults>
  <a:extraClrSchemeLst/>
  <a:custClrLst>
    <a:custClr name="ZF Cyan 100%">
      <a:srgbClr val="00ABE7"/>
    </a:custClr>
    <a:custClr name="ZF Cyan 50%">
      <a:srgbClr val="7FD5F3"/>
    </a:custClr>
    <a:custClr name="ZF Cyan 25%">
      <a:srgbClr val="BFEAF9"/>
    </a:custClr>
    <a:custClr>
      <a:srgbClr val="FFFFFF"/>
    </a:custClr>
    <a:custClr name="ZF Blue 100%">
      <a:srgbClr val="1179BF"/>
    </a:custClr>
    <a:custClr name="ZF Blue 50%">
      <a:srgbClr val="81BCDF"/>
    </a:custClr>
    <a:custClr>
      <a:srgbClr val="FFFFFF"/>
    </a:custClr>
    <a:custClr name="Middle Blue 100%">
      <a:srgbClr val="004D7A"/>
    </a:custClr>
    <a:custClr name="Middle Blue 50%">
      <a:srgbClr val="7FA5BC"/>
    </a:custClr>
    <a:custClr>
      <a:srgbClr val="FFFFFF"/>
    </a:custClr>
    <a:custClr name="Black 100%">
      <a:srgbClr val="000000"/>
    </a:custClr>
    <a:custClr name="Black 50%">
      <a:srgbClr val="7F7F7F"/>
    </a:custClr>
    <a:custClr name="Black 25%">
      <a:srgbClr val="BFBFBF"/>
    </a:custClr>
    <a:custClr>
      <a:srgbClr val="FFFFFF"/>
    </a:custClr>
    <a:custClr name="1. Step color gradient">
      <a:srgbClr val="1179BF"/>
    </a:custClr>
    <a:custClr name="2. Step color gradient">
      <a:srgbClr val="004D7A"/>
    </a:custClr>
    <a:custClr name="3. Step color gradient">
      <a:srgbClr val="001024"/>
    </a:custClr>
    <a:custClr>
      <a:srgbClr val="FFFFFF"/>
    </a:custClr>
    <a:custClr name="ZF Red - Only highlight color">
      <a:srgbClr val="DD0C29"/>
    </a:custClr>
  </a:custClrLst>
  <a:extLst>
    <a:ext uri="{05A4C25C-085E-4340-85A3-A5531E510DB2}">
      <thm15:themeFamily xmlns:thm15="http://schemas.microsoft.com/office/thememl/2012/main" name="ZF" id="{D9DB4961-03D2-4AB0-A5F8-B5056FD3896F}" vid="{CBC2B03A-44DE-495B-B9A3-848BC87019E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Giesche Frank ALD RDTE143</dc:creator>
  <cp:keywords/>
  <dc:description/>
  <cp:lastModifiedBy>Giesche Frank ALD RDTE143</cp:lastModifiedBy>
  <cp:revision>2</cp:revision>
  <dcterms:created xsi:type="dcterms:W3CDTF">2022-03-15T08:17:00Z</dcterms:created>
  <dcterms:modified xsi:type="dcterms:W3CDTF">2022-03-15T08:33:00Z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94a1c8-9899-41e7-8f6e-8b1b3c79592a_Enabled">
    <vt:lpwstr>true</vt:lpwstr>
  </property>
  <property fmtid="{D5CDD505-2E9C-101B-9397-08002B2CF9AE}" pid="3" name="MSIP_Label_7294a1c8-9899-41e7-8f6e-8b1b3c79592a_SetDate">
    <vt:lpwstr>2022-03-15T08:33:05Z</vt:lpwstr>
  </property>
  <property fmtid="{D5CDD505-2E9C-101B-9397-08002B2CF9AE}" pid="4" name="MSIP_Label_7294a1c8-9899-41e7-8f6e-8b1b3c79592a_Method">
    <vt:lpwstr>Privileged</vt:lpwstr>
  </property>
  <property fmtid="{D5CDD505-2E9C-101B-9397-08002B2CF9AE}" pid="5" name="MSIP_Label_7294a1c8-9899-41e7-8f6e-8b1b3c79592a_Name">
    <vt:lpwstr>Internal sub2 (no marking)</vt:lpwstr>
  </property>
  <property fmtid="{D5CDD505-2E9C-101B-9397-08002B2CF9AE}" pid="6" name="MSIP_Label_7294a1c8-9899-41e7-8f6e-8b1b3c79592a_SiteId">
    <vt:lpwstr>eb70b763-b6d7-4486-8555-8831709a784e</vt:lpwstr>
  </property>
  <property fmtid="{D5CDD505-2E9C-101B-9397-08002B2CF9AE}" pid="7" name="MSIP_Label_7294a1c8-9899-41e7-8f6e-8b1b3c79592a_ActionId">
    <vt:lpwstr>78d2aed4-5daf-44dd-b82d-8b864dee7913</vt:lpwstr>
  </property>
  <property fmtid="{D5CDD505-2E9C-101B-9397-08002B2CF9AE}" pid="8" name="MSIP_Label_7294a1c8-9899-41e7-8f6e-8b1b3c79592a_ContentBits">
    <vt:lpwstr>0</vt:lpwstr>
  </property>
</Properties>
</file>